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7EAD" w14:textId="0EF42185" w:rsidR="00E8164B" w:rsidRPr="00E8164B" w:rsidRDefault="00E8164B" w:rsidP="00E8164B">
      <w:pPr>
        <w:pStyle w:val="NormalWeb"/>
        <w:shd w:val="clear" w:color="auto" w:fill="FFFFFF"/>
        <w:jc w:val="center"/>
        <w:rPr>
          <w:rStyle w:val="Textoennegrita"/>
          <w:rFonts w:ascii="Arial" w:hAnsi="Arial" w:cs="Arial"/>
          <w:color w:val="333333"/>
          <w:sz w:val="28"/>
          <w:szCs w:val="28"/>
        </w:rPr>
      </w:pPr>
      <w:r w:rsidRPr="00E8164B">
        <w:rPr>
          <w:rStyle w:val="Textoennegrita"/>
          <w:rFonts w:ascii="Arial" w:hAnsi="Arial" w:cs="Arial"/>
          <w:color w:val="333333"/>
          <w:sz w:val="28"/>
          <w:szCs w:val="28"/>
        </w:rPr>
        <w:t>DEPARTAMENTO ADMINISTRATIVO DE LA FUNCION PUBLICA</w:t>
      </w:r>
    </w:p>
    <w:p w14:paraId="6610ADC3" w14:textId="1297C22B" w:rsidR="00E8164B" w:rsidRPr="00E8164B" w:rsidRDefault="00E8164B" w:rsidP="00E8164B">
      <w:pPr>
        <w:pStyle w:val="NormalWeb"/>
        <w:shd w:val="clear" w:color="auto" w:fill="FFFFFF"/>
        <w:jc w:val="center"/>
        <w:rPr>
          <w:rStyle w:val="Textoennegrita"/>
          <w:rFonts w:ascii="Arial" w:hAnsi="Arial" w:cs="Arial"/>
          <w:color w:val="333333"/>
          <w:sz w:val="28"/>
          <w:szCs w:val="28"/>
        </w:rPr>
      </w:pPr>
      <w:r w:rsidRPr="00E8164B">
        <w:rPr>
          <w:rStyle w:val="Textoennegrita"/>
          <w:rFonts w:ascii="Arial" w:hAnsi="Arial" w:cs="Arial"/>
          <w:color w:val="333333"/>
          <w:sz w:val="28"/>
          <w:szCs w:val="28"/>
        </w:rPr>
        <w:t>CONCEPTO 152011</w:t>
      </w:r>
    </w:p>
    <w:p w14:paraId="0044355D"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Fecha: 19/04/2023 03:28:51 p.m.</w:t>
      </w:r>
    </w:p>
    <w:p w14:paraId="53BFE29D"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Bogotá D.C.</w:t>
      </w:r>
    </w:p>
    <w:p w14:paraId="036572DD"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 </w:t>
      </w:r>
    </w:p>
    <w:p w14:paraId="65F43145" w14:textId="6300B2BA"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Textoennegrita"/>
          <w:rFonts w:ascii="Arial" w:hAnsi="Arial" w:cs="Arial"/>
          <w:color w:val="333333"/>
          <w:sz w:val="28"/>
          <w:szCs w:val="28"/>
        </w:rPr>
        <w:t>REF: ENTIDADES. </w:t>
      </w:r>
      <w:r w:rsidRPr="00E8164B">
        <w:rPr>
          <w:rFonts w:ascii="Arial" w:hAnsi="Arial" w:cs="Arial"/>
          <w:color w:val="333333"/>
          <w:sz w:val="28"/>
          <w:szCs w:val="28"/>
        </w:rPr>
        <w:t>Documentos sometidos a reserva. Acceso a información. </w:t>
      </w:r>
    </w:p>
    <w:p w14:paraId="64130B9E"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En atención al oficio de la referencia, mediante el cual consulta </w:t>
      </w:r>
      <w:r w:rsidRPr="00E8164B">
        <w:rPr>
          <w:rStyle w:val="nfasis"/>
          <w:rFonts w:ascii="Arial" w:hAnsi="Arial" w:cs="Arial"/>
          <w:color w:val="333333"/>
          <w:sz w:val="28"/>
          <w:szCs w:val="28"/>
        </w:rPr>
        <w:t>«Qué normas nos facultan o impiden para atender de fondo el derecho de petición que solicita la entrega de la totalidad del expediente PTE al interesado, documentación que advertimos fue entregada a nuestra entidad por el interesado en el PTE, o proponente en atención al cumplimiento de la Resolución 0680 de 2022, la cual se relaciona (...).», </w:t>
      </w:r>
      <w:r w:rsidRPr="00E8164B">
        <w:rPr>
          <w:rFonts w:ascii="Arial" w:hAnsi="Arial" w:cs="Arial"/>
          <w:color w:val="333333"/>
          <w:sz w:val="28"/>
          <w:szCs w:val="28"/>
        </w:rPr>
        <w:t>me permito manifestarle lo siguiente.</w:t>
      </w:r>
    </w:p>
    <w:p w14:paraId="49B18749"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De acuerdo con el Decreto </w:t>
      </w:r>
      <w:hyperlink r:id="rId4" w:anchor="0430" w:tooltip="vinculo" w:history="1">
        <w:r w:rsidRPr="00E8164B">
          <w:rPr>
            <w:rStyle w:val="Hipervnculo"/>
            <w:rFonts w:ascii="Arial" w:hAnsi="Arial" w:cs="Arial"/>
            <w:color w:val="007BFF"/>
            <w:sz w:val="28"/>
            <w:szCs w:val="28"/>
          </w:rPr>
          <w:t>430 </w:t>
        </w:r>
      </w:hyperlink>
      <w:r w:rsidRPr="00E8164B">
        <w:rPr>
          <w:rFonts w:ascii="Arial" w:hAnsi="Arial" w:cs="Arial"/>
          <w:color w:val="333333"/>
          <w:sz w:val="28"/>
          <w:szCs w:val="28"/>
        </w:rPr>
        <w:t>de 2016</w:t>
      </w:r>
      <w:r w:rsidRPr="00E8164B">
        <w:rPr>
          <w:rFonts w:ascii="Arial" w:hAnsi="Arial" w:cs="Arial"/>
          <w:color w:val="333333"/>
          <w:sz w:val="28"/>
          <w:szCs w:val="28"/>
          <w:vertAlign w:val="superscript"/>
        </w:rPr>
        <w:t>1</w:t>
      </w:r>
      <w:r w:rsidRPr="00E8164B">
        <w:rPr>
          <w:rFonts w:ascii="Arial" w:hAnsi="Arial" w:cs="Arial"/>
          <w:color w:val="333333"/>
          <w:sz w:val="28"/>
          <w:szCs w:val="28"/>
        </w:rPr>
        <w:t> artículo </w:t>
      </w:r>
      <w:hyperlink r:id="rId5" w:anchor="1" w:tooltip="vinculo" w:history="1">
        <w:r w:rsidRPr="00E8164B">
          <w:rPr>
            <w:rStyle w:val="Hipervnculo"/>
            <w:rFonts w:ascii="Arial" w:hAnsi="Arial" w:cs="Arial"/>
            <w:color w:val="007BFF"/>
            <w:sz w:val="28"/>
            <w:szCs w:val="28"/>
          </w:rPr>
          <w:t>1</w:t>
        </w:r>
      </w:hyperlink>
      <w:r w:rsidRPr="00E8164B">
        <w:rPr>
          <w:rFonts w:ascii="Arial" w:hAnsi="Arial" w:cs="Arial"/>
          <w:color w:val="333333"/>
          <w:sz w:val="28"/>
          <w:szCs w:val="28"/>
        </w:rPr>
        <w:t> el objeto del Departamento Administrativo de la Función Pública consiste en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 Por lo tanto, no tiene competencia de resolver situaciones de carácter particular.</w:t>
      </w:r>
    </w:p>
    <w:p w14:paraId="3A9FE206"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Así las cosas, solo es dable realizar una interpretación general de las disposiciones legales relacionadas con la materia de su consulta.</w:t>
      </w:r>
    </w:p>
    <w:p w14:paraId="22AEC63D"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La Ley </w:t>
      </w:r>
      <w:hyperlink r:id="rId6" w:anchor="1712" w:tooltip="vinculo" w:history="1">
        <w:r w:rsidRPr="00E8164B">
          <w:rPr>
            <w:rStyle w:val="Hipervnculo"/>
            <w:rFonts w:ascii="Arial" w:hAnsi="Arial" w:cs="Arial"/>
            <w:color w:val="007BFF"/>
            <w:sz w:val="28"/>
            <w:szCs w:val="28"/>
          </w:rPr>
          <w:t>1712</w:t>
        </w:r>
      </w:hyperlink>
      <w:r w:rsidRPr="00E8164B">
        <w:rPr>
          <w:rFonts w:ascii="Arial" w:hAnsi="Arial" w:cs="Arial"/>
          <w:color w:val="333333"/>
          <w:sz w:val="28"/>
          <w:szCs w:val="28"/>
        </w:rPr>
        <w:t> de 2014</w:t>
      </w:r>
      <w:r w:rsidRPr="00E8164B">
        <w:rPr>
          <w:rFonts w:ascii="Arial" w:hAnsi="Arial" w:cs="Arial"/>
          <w:color w:val="333333"/>
          <w:sz w:val="28"/>
          <w:szCs w:val="28"/>
          <w:vertAlign w:val="superscript"/>
        </w:rPr>
        <w:t>2</w:t>
      </w:r>
      <w:r w:rsidRPr="00E8164B">
        <w:rPr>
          <w:rFonts w:ascii="Arial" w:hAnsi="Arial" w:cs="Arial"/>
          <w:color w:val="333333"/>
          <w:sz w:val="28"/>
          <w:szCs w:val="28"/>
        </w:rPr>
        <w:t>, establece:</w:t>
      </w:r>
    </w:p>
    <w:p w14:paraId="25F7E5A2"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 </w:t>
      </w:r>
    </w:p>
    <w:p w14:paraId="323138AA"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b/>
          <w:bCs/>
          <w:color w:val="333333"/>
          <w:sz w:val="28"/>
          <w:szCs w:val="28"/>
        </w:rPr>
        <w:t>«Artículo </w:t>
      </w:r>
      <w:hyperlink r:id="rId7" w:anchor="1" w:tooltip="vinculo" w:history="1">
        <w:r w:rsidRPr="00E8164B">
          <w:rPr>
            <w:rStyle w:val="Hipervnculo"/>
            <w:rFonts w:ascii="Arial" w:hAnsi="Arial" w:cs="Arial"/>
            <w:b/>
            <w:bCs/>
            <w:i/>
            <w:iCs/>
            <w:color w:val="007BFF"/>
            <w:sz w:val="28"/>
            <w:szCs w:val="28"/>
          </w:rPr>
          <w:t>1</w:t>
        </w:r>
      </w:hyperlink>
      <w:r w:rsidRPr="00E8164B">
        <w:rPr>
          <w:rStyle w:val="nfasis"/>
          <w:rFonts w:ascii="Arial" w:hAnsi="Arial" w:cs="Arial"/>
          <w:b/>
          <w:bCs/>
          <w:color w:val="333333"/>
          <w:sz w:val="28"/>
          <w:szCs w:val="28"/>
        </w:rPr>
        <w:t>°. Objeto. </w:t>
      </w:r>
      <w:r w:rsidRPr="00E8164B">
        <w:rPr>
          <w:rStyle w:val="nfasis"/>
          <w:rFonts w:ascii="Arial" w:hAnsi="Arial" w:cs="Arial"/>
          <w:color w:val="333333"/>
          <w:sz w:val="28"/>
          <w:szCs w:val="28"/>
        </w:rPr>
        <w:t>El objeto de la presente ley es regular el derecho de acceso a la información pública, los procedimientos para el ejercicio y garantía del derecho y las excepciones a la publicidad de información.</w:t>
      </w:r>
    </w:p>
    <w:p w14:paraId="2557B02B"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b/>
          <w:bCs/>
          <w:color w:val="333333"/>
          <w:sz w:val="28"/>
          <w:szCs w:val="28"/>
        </w:rPr>
        <w:lastRenderedPageBreak/>
        <w:t>Artículo </w:t>
      </w:r>
      <w:hyperlink r:id="rId8" w:anchor="2" w:tooltip="vinculo" w:history="1">
        <w:r w:rsidRPr="00E8164B">
          <w:rPr>
            <w:rStyle w:val="Hipervnculo"/>
            <w:rFonts w:ascii="Arial" w:hAnsi="Arial" w:cs="Arial"/>
            <w:b/>
            <w:bCs/>
            <w:i/>
            <w:iCs/>
            <w:color w:val="007BFF"/>
            <w:sz w:val="28"/>
            <w:szCs w:val="28"/>
          </w:rPr>
          <w:t>2°</w:t>
        </w:r>
      </w:hyperlink>
      <w:r w:rsidRPr="00E8164B">
        <w:rPr>
          <w:rStyle w:val="nfasis"/>
          <w:rFonts w:ascii="Arial" w:hAnsi="Arial" w:cs="Arial"/>
          <w:b/>
          <w:bCs/>
          <w:color w:val="333333"/>
          <w:sz w:val="28"/>
          <w:szCs w:val="28"/>
        </w:rPr>
        <w:t>. Principio de máxima publicidad para titular universal. </w:t>
      </w:r>
      <w:r w:rsidRPr="00E8164B">
        <w:rPr>
          <w:rStyle w:val="nfasis"/>
          <w:rFonts w:ascii="Arial" w:hAnsi="Arial" w:cs="Arial"/>
          <w:color w:val="333333"/>
          <w:sz w:val="28"/>
          <w:szCs w:val="28"/>
        </w:rPr>
        <w:t>Toda información en posesión, bajo control o custodia de un sujeto obligado es pública y no podrá ser reservada o limitada sino por disposición constitucional o legal, de conformidad con la presente ley.</w:t>
      </w:r>
    </w:p>
    <w:p w14:paraId="300E365E"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b/>
          <w:bCs/>
          <w:color w:val="333333"/>
          <w:sz w:val="28"/>
          <w:szCs w:val="28"/>
        </w:rPr>
        <w:t>Artículo </w:t>
      </w:r>
      <w:hyperlink r:id="rId9" w:anchor="5" w:tooltip="vinculo" w:history="1">
        <w:r w:rsidRPr="00E8164B">
          <w:rPr>
            <w:rStyle w:val="Hipervnculo"/>
            <w:rFonts w:ascii="Arial" w:hAnsi="Arial" w:cs="Arial"/>
            <w:b/>
            <w:bCs/>
            <w:i/>
            <w:iCs/>
            <w:color w:val="007BFF"/>
            <w:sz w:val="28"/>
            <w:szCs w:val="28"/>
          </w:rPr>
          <w:t>5°</w:t>
        </w:r>
      </w:hyperlink>
      <w:r w:rsidRPr="00E8164B">
        <w:rPr>
          <w:rStyle w:val="nfasis"/>
          <w:rFonts w:ascii="Arial" w:hAnsi="Arial" w:cs="Arial"/>
          <w:b/>
          <w:bCs/>
          <w:color w:val="333333"/>
          <w:sz w:val="28"/>
          <w:szCs w:val="28"/>
        </w:rPr>
        <w:t>. Ámbito de aplicación. </w:t>
      </w:r>
      <w:r w:rsidRPr="00E8164B">
        <w:rPr>
          <w:rStyle w:val="nfasis"/>
          <w:rFonts w:ascii="Arial" w:hAnsi="Arial" w:cs="Arial"/>
          <w:color w:val="333333"/>
          <w:sz w:val="28"/>
          <w:szCs w:val="28"/>
        </w:rPr>
        <w:t>Corregido por el </w:t>
      </w:r>
      <w:r w:rsidRPr="00E8164B">
        <w:rPr>
          <w:rStyle w:val="nfasis"/>
          <w:rFonts w:ascii="Arial" w:hAnsi="Arial" w:cs="Arial"/>
          <w:b/>
          <w:bCs/>
          <w:color w:val="333333"/>
          <w:sz w:val="28"/>
          <w:szCs w:val="28"/>
        </w:rPr>
        <w:t>art. </w:t>
      </w:r>
      <w:hyperlink r:id="rId10" w:anchor="1" w:tooltip="vinculo" w:history="1">
        <w:r w:rsidRPr="00E8164B">
          <w:rPr>
            <w:rStyle w:val="Hipervnculo"/>
            <w:rFonts w:ascii="Arial" w:hAnsi="Arial" w:cs="Arial"/>
            <w:b/>
            <w:bCs/>
            <w:i/>
            <w:iCs/>
            <w:color w:val="007BFF"/>
            <w:sz w:val="28"/>
            <w:szCs w:val="28"/>
          </w:rPr>
          <w:t>1</w:t>
        </w:r>
      </w:hyperlink>
      <w:r w:rsidRPr="00E8164B">
        <w:rPr>
          <w:rStyle w:val="nfasis"/>
          <w:rFonts w:ascii="Arial" w:hAnsi="Arial" w:cs="Arial"/>
          <w:b/>
          <w:bCs/>
          <w:color w:val="333333"/>
          <w:sz w:val="28"/>
          <w:szCs w:val="28"/>
        </w:rPr>
        <w:t> Decreto Nacional 1494 de 2015</w:t>
      </w:r>
    </w:p>
    <w:p w14:paraId="2C487856"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Las disposiciones de esta ley serán aplicables a las siguientes personas en calidad de sujetos obligados:</w:t>
      </w:r>
    </w:p>
    <w:p w14:paraId="733D39F4"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EE5471F"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b) Los órganos, organismos y entidades estatales independientes o autónomos y de control;</w:t>
      </w:r>
    </w:p>
    <w:p w14:paraId="0CE61EF2"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c) Las personas naturales y jurídicas, públicas o privadas, que presten función pública, que presten servicios públicos respecto de la información directamente relacionada con la prestación del servicio público;</w:t>
      </w:r>
    </w:p>
    <w:p w14:paraId="733DE39B"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 xml:space="preserve">d) Cualquier persona natural, jurídica o dependencia de persona jurídica que desempeñe función pública o de </w:t>
      </w:r>
      <w:proofErr w:type="gramStart"/>
      <w:r w:rsidRPr="00E8164B">
        <w:rPr>
          <w:rStyle w:val="nfasis"/>
          <w:rFonts w:ascii="Arial" w:hAnsi="Arial" w:cs="Arial"/>
          <w:color w:val="333333"/>
          <w:sz w:val="28"/>
          <w:szCs w:val="28"/>
        </w:rPr>
        <w:t>autoridad pública</w:t>
      </w:r>
      <w:proofErr w:type="gramEnd"/>
      <w:r w:rsidRPr="00E8164B">
        <w:rPr>
          <w:rStyle w:val="nfasis"/>
          <w:rFonts w:ascii="Arial" w:hAnsi="Arial" w:cs="Arial"/>
          <w:color w:val="333333"/>
          <w:sz w:val="28"/>
          <w:szCs w:val="28"/>
        </w:rPr>
        <w:t>, respecto de la información directamente relacionada con el desempeño de su función;</w:t>
      </w:r>
    </w:p>
    <w:p w14:paraId="2851AC45"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e) Los partidos o movimientos políticos y los grupos significativos de ciudadanos;</w:t>
      </w:r>
    </w:p>
    <w:p w14:paraId="604A8963"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f) Las entidades que administren instituciones parafiscales, fondos o recursos de naturaleza u origen público.</w:t>
      </w:r>
    </w:p>
    <w:p w14:paraId="26858F41"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6CD586DA"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b/>
          <w:bCs/>
          <w:color w:val="333333"/>
          <w:sz w:val="28"/>
          <w:szCs w:val="28"/>
        </w:rPr>
        <w:lastRenderedPageBreak/>
        <w:t>Parágrafo 1°. </w:t>
      </w:r>
      <w:r w:rsidRPr="00E8164B">
        <w:rPr>
          <w:rStyle w:val="nfasis"/>
          <w:rFonts w:ascii="Arial" w:hAnsi="Arial" w:cs="Arial"/>
          <w:color w:val="333333"/>
          <w:sz w:val="28"/>
          <w:szCs w:val="28"/>
        </w:rPr>
        <w:t>No serán sujetos obligados aquellas personas naturales o jurídicas de carácter privado que sean usuarios de información pública.</w:t>
      </w:r>
    </w:p>
    <w:p w14:paraId="56A35C05"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b/>
          <w:bCs/>
          <w:color w:val="333333"/>
          <w:sz w:val="28"/>
          <w:szCs w:val="28"/>
        </w:rPr>
        <w:t>Artículo </w:t>
      </w:r>
      <w:hyperlink r:id="rId11" w:anchor="6" w:tooltip="vinculo" w:history="1">
        <w:r w:rsidRPr="00E8164B">
          <w:rPr>
            <w:rStyle w:val="Hipervnculo"/>
            <w:rFonts w:ascii="Arial" w:hAnsi="Arial" w:cs="Arial"/>
            <w:b/>
            <w:bCs/>
            <w:i/>
            <w:iCs/>
            <w:color w:val="007BFF"/>
            <w:sz w:val="28"/>
            <w:szCs w:val="28"/>
          </w:rPr>
          <w:t>6°</w:t>
        </w:r>
      </w:hyperlink>
      <w:r w:rsidRPr="00E8164B">
        <w:rPr>
          <w:rStyle w:val="nfasis"/>
          <w:rFonts w:ascii="Arial" w:hAnsi="Arial" w:cs="Arial"/>
          <w:b/>
          <w:bCs/>
          <w:color w:val="333333"/>
          <w:sz w:val="28"/>
          <w:szCs w:val="28"/>
        </w:rPr>
        <w:t>. Definiciones.</w:t>
      </w:r>
    </w:p>
    <w:p w14:paraId="540E0B59"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a) </w:t>
      </w:r>
      <w:r w:rsidRPr="00E8164B">
        <w:rPr>
          <w:rStyle w:val="nfasis"/>
          <w:rFonts w:ascii="Arial" w:hAnsi="Arial" w:cs="Arial"/>
          <w:b/>
          <w:bCs/>
          <w:color w:val="333333"/>
          <w:sz w:val="28"/>
          <w:szCs w:val="28"/>
        </w:rPr>
        <w:t>Información. </w:t>
      </w:r>
      <w:r w:rsidRPr="00E8164B">
        <w:rPr>
          <w:rStyle w:val="nfasis"/>
          <w:rFonts w:ascii="Arial" w:hAnsi="Arial" w:cs="Arial"/>
          <w:color w:val="333333"/>
          <w:sz w:val="28"/>
          <w:szCs w:val="28"/>
        </w:rPr>
        <w:t>Se refiere a un conjunto organizado de datos contenido en cualquier documento que los sujetos obligados generen, obtengan, adquieran, transformen o controlen;</w:t>
      </w:r>
    </w:p>
    <w:p w14:paraId="39D645E0"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b) </w:t>
      </w:r>
      <w:r w:rsidRPr="00E8164B">
        <w:rPr>
          <w:rStyle w:val="nfasis"/>
          <w:rFonts w:ascii="Arial" w:hAnsi="Arial" w:cs="Arial"/>
          <w:b/>
          <w:bCs/>
          <w:color w:val="333333"/>
          <w:sz w:val="28"/>
          <w:szCs w:val="28"/>
        </w:rPr>
        <w:t>Información pública. </w:t>
      </w:r>
      <w:r w:rsidRPr="00E8164B">
        <w:rPr>
          <w:rStyle w:val="nfasis"/>
          <w:rFonts w:ascii="Arial" w:hAnsi="Arial" w:cs="Arial"/>
          <w:color w:val="333333"/>
          <w:sz w:val="28"/>
          <w:szCs w:val="28"/>
        </w:rPr>
        <w:t>Es toda información que un sujeto obligado genere, obtenga, adquiera, o controle en su calidad de tal;</w:t>
      </w:r>
    </w:p>
    <w:p w14:paraId="6C437578"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c) </w:t>
      </w:r>
      <w:r w:rsidRPr="00E8164B">
        <w:rPr>
          <w:rStyle w:val="nfasis"/>
          <w:rFonts w:ascii="Arial" w:hAnsi="Arial" w:cs="Arial"/>
          <w:b/>
          <w:bCs/>
          <w:color w:val="333333"/>
          <w:sz w:val="28"/>
          <w:szCs w:val="28"/>
        </w:rPr>
        <w:t>Información pública clasificada. </w:t>
      </w:r>
      <w:r w:rsidRPr="00E8164B">
        <w:rPr>
          <w:rStyle w:val="nfasis"/>
          <w:rFonts w:ascii="Arial" w:hAnsi="Arial" w:cs="Arial"/>
          <w:color w:val="333333"/>
          <w:sz w:val="28"/>
          <w:szCs w:val="28"/>
        </w:rPr>
        <w:t>Es aquella 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consagrados en el artículo 18 de esta ley;</w:t>
      </w:r>
    </w:p>
    <w:p w14:paraId="72FE674A"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d) </w:t>
      </w:r>
      <w:r w:rsidRPr="00E8164B">
        <w:rPr>
          <w:rStyle w:val="nfasis"/>
          <w:rFonts w:ascii="Arial" w:hAnsi="Arial" w:cs="Arial"/>
          <w:b/>
          <w:bCs/>
          <w:color w:val="333333"/>
          <w:sz w:val="28"/>
          <w:szCs w:val="28"/>
        </w:rPr>
        <w:t>Información pública reservada. </w:t>
      </w:r>
      <w:r w:rsidRPr="00E8164B">
        <w:rPr>
          <w:rStyle w:val="nfasis"/>
          <w:rFonts w:ascii="Arial" w:hAnsi="Arial" w:cs="Arial"/>
          <w:color w:val="333333"/>
          <w:sz w:val="28"/>
          <w:szCs w:val="28"/>
        </w:rPr>
        <w:t>Es aquella información que estando en poder o custodia de un sujeto obligado en su calidad de tal, es exceptuada de acceso a la ciudadanía por daño a intereses públicos y bajo cumplimiento de la totalidad de los requisitos consagrados en el artículo 19 de esta ley;</w:t>
      </w:r>
    </w:p>
    <w:p w14:paraId="24CD74E6"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e) </w:t>
      </w:r>
      <w:r w:rsidRPr="00E8164B">
        <w:rPr>
          <w:rStyle w:val="nfasis"/>
          <w:rFonts w:ascii="Arial" w:hAnsi="Arial" w:cs="Arial"/>
          <w:b/>
          <w:bCs/>
          <w:color w:val="333333"/>
          <w:sz w:val="28"/>
          <w:szCs w:val="28"/>
        </w:rPr>
        <w:t>Publicar o divulgar. </w:t>
      </w:r>
      <w:r w:rsidRPr="00E8164B">
        <w:rPr>
          <w:rStyle w:val="nfasis"/>
          <w:rFonts w:ascii="Arial" w:hAnsi="Arial" w:cs="Arial"/>
          <w:color w:val="333333"/>
          <w:sz w:val="28"/>
          <w:szCs w:val="28"/>
        </w:rPr>
        <w:t>Significa poner a disposición en una forma de acceso general a los miembros del público e incluye la impresión, emisión y las formas electrónicas de difusión;</w:t>
      </w:r>
    </w:p>
    <w:p w14:paraId="790A6E7F"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f) </w:t>
      </w:r>
      <w:r w:rsidRPr="00E8164B">
        <w:rPr>
          <w:rStyle w:val="nfasis"/>
          <w:rFonts w:ascii="Arial" w:hAnsi="Arial" w:cs="Arial"/>
          <w:b/>
          <w:bCs/>
          <w:color w:val="333333"/>
          <w:sz w:val="28"/>
          <w:szCs w:val="28"/>
        </w:rPr>
        <w:t>Sujetos obligados. </w:t>
      </w:r>
      <w:r w:rsidRPr="00E8164B">
        <w:rPr>
          <w:rStyle w:val="nfasis"/>
          <w:rFonts w:ascii="Arial" w:hAnsi="Arial" w:cs="Arial"/>
          <w:color w:val="333333"/>
          <w:sz w:val="28"/>
          <w:szCs w:val="28"/>
        </w:rPr>
        <w:t>Se refiere a cualquier persona natural o jurídica, pública o privada incluida en el artículo 5° de esta ley;</w:t>
      </w:r>
      <w:r w:rsidRPr="00E8164B">
        <w:rPr>
          <w:rFonts w:ascii="Arial" w:hAnsi="Arial" w:cs="Arial"/>
          <w:color w:val="333333"/>
          <w:sz w:val="28"/>
          <w:szCs w:val="28"/>
        </w:rPr>
        <w:t> </w:t>
      </w:r>
      <w:r w:rsidRPr="00E8164B">
        <w:rPr>
          <w:rStyle w:val="nfasis"/>
          <w:rFonts w:ascii="Arial" w:hAnsi="Arial" w:cs="Arial"/>
          <w:color w:val="333333"/>
          <w:sz w:val="28"/>
          <w:szCs w:val="28"/>
        </w:rPr>
        <w:t>(...)</w:t>
      </w:r>
    </w:p>
    <w:p w14:paraId="203E0143"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b/>
          <w:bCs/>
          <w:color w:val="333333"/>
          <w:sz w:val="28"/>
          <w:szCs w:val="28"/>
        </w:rPr>
        <w:t>Artículo</w:t>
      </w:r>
      <w:hyperlink r:id="rId12" w:anchor="7" w:tooltip="vinculo" w:history="1">
        <w:r w:rsidRPr="00E8164B">
          <w:rPr>
            <w:rStyle w:val="Hipervnculo"/>
            <w:rFonts w:ascii="Arial" w:hAnsi="Arial" w:cs="Arial"/>
            <w:b/>
            <w:bCs/>
            <w:i/>
            <w:iCs/>
            <w:color w:val="007BFF"/>
            <w:sz w:val="28"/>
            <w:szCs w:val="28"/>
          </w:rPr>
          <w:t> 7</w:t>
        </w:r>
      </w:hyperlink>
      <w:r w:rsidRPr="00E8164B">
        <w:rPr>
          <w:rStyle w:val="nfasis"/>
          <w:rFonts w:ascii="Arial" w:hAnsi="Arial" w:cs="Arial"/>
          <w:b/>
          <w:bCs/>
          <w:color w:val="333333"/>
          <w:sz w:val="28"/>
          <w:szCs w:val="28"/>
        </w:rPr>
        <w:t>°. Disponibilidad de la Información. </w:t>
      </w:r>
      <w:r w:rsidRPr="00E8164B">
        <w:rPr>
          <w:rStyle w:val="nfasis"/>
          <w:rFonts w:ascii="Arial" w:hAnsi="Arial" w:cs="Arial"/>
          <w:color w:val="333333"/>
          <w:sz w:val="28"/>
          <w:szCs w:val="28"/>
        </w:rPr>
        <w:t xml:space="preserve">En virtud de los principios señalados, deberá estar a disposición del público la información a la que hace referencia la presente ley, a través de medios físicos, remotos o locales de comunicación electrónica. Los sujetos obligados deberán tener a disposición de las personas interesadas dicha información en la Web, a fin de que estas puedan obtener la información, de manera directa o mediante impresiones. </w:t>
      </w:r>
      <w:r w:rsidRPr="00E8164B">
        <w:rPr>
          <w:rStyle w:val="nfasis"/>
          <w:rFonts w:ascii="Arial" w:hAnsi="Arial" w:cs="Arial"/>
          <w:color w:val="333333"/>
          <w:sz w:val="28"/>
          <w:szCs w:val="28"/>
        </w:rPr>
        <w:lastRenderedPageBreak/>
        <w:t>Asimismo, estos deberán proporcionar apoyo a los usuarios que lo requieran y proveer todo tipo de asistencia respecto de los trámites y servicios que presten.</w:t>
      </w:r>
    </w:p>
    <w:p w14:paraId="05C33C63"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b/>
          <w:bCs/>
          <w:color w:val="333333"/>
          <w:sz w:val="28"/>
          <w:szCs w:val="28"/>
        </w:rPr>
        <w:t>Parágrafo. </w:t>
      </w:r>
      <w:r w:rsidRPr="00E8164B">
        <w:rPr>
          <w:rStyle w:val="nfasis"/>
          <w:rFonts w:ascii="Arial" w:hAnsi="Arial" w:cs="Arial"/>
          <w:color w:val="333333"/>
          <w:sz w:val="28"/>
          <w:szCs w:val="28"/>
        </w:rPr>
        <w:t>Se permite en todo caso la retransmisión de televisión por internet cuando el contenido sea información pública de entidades del Estado o noticias al respecto.</w:t>
      </w:r>
    </w:p>
    <w:p w14:paraId="2DF05BA9"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b/>
          <w:bCs/>
          <w:color w:val="333333"/>
          <w:sz w:val="28"/>
          <w:szCs w:val="28"/>
        </w:rPr>
        <w:t>Artículo </w:t>
      </w:r>
      <w:hyperlink r:id="rId13" w:anchor="20" w:tooltip="vinculo" w:history="1">
        <w:r w:rsidRPr="00E8164B">
          <w:rPr>
            <w:rStyle w:val="Hipervnculo"/>
            <w:rFonts w:ascii="Arial" w:hAnsi="Arial" w:cs="Arial"/>
            <w:b/>
            <w:bCs/>
            <w:i/>
            <w:iCs/>
            <w:color w:val="007BFF"/>
            <w:sz w:val="28"/>
            <w:szCs w:val="28"/>
          </w:rPr>
          <w:t>20</w:t>
        </w:r>
      </w:hyperlink>
      <w:r w:rsidRPr="00E8164B">
        <w:rPr>
          <w:rStyle w:val="nfasis"/>
          <w:rFonts w:ascii="Arial" w:hAnsi="Arial" w:cs="Arial"/>
          <w:b/>
          <w:bCs/>
          <w:color w:val="333333"/>
          <w:sz w:val="28"/>
          <w:szCs w:val="28"/>
        </w:rPr>
        <w:t>. Índice de Información clasificada y reservada. </w:t>
      </w:r>
      <w:r w:rsidRPr="00E8164B">
        <w:rPr>
          <w:rStyle w:val="nfasis"/>
          <w:rFonts w:ascii="Arial" w:hAnsi="Arial" w:cs="Arial"/>
          <w:color w:val="333333"/>
          <w:sz w:val="28"/>
          <w:szCs w:val="28"/>
        </w:rPr>
        <w:t>Los sujetos obligados deberán mantener un índice actualizado de los actos, documentos e informaciones calificados como clasificados o reservados, de conformidad a esta ley. El índice incluirá sus denominaciones, la motivación y la individualización del acto en que conste tal calificación.»</w:t>
      </w:r>
    </w:p>
    <w:p w14:paraId="78F936FC"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Por otra parte, el Código de Procedimiento Administrativo y de lo Contencioso Administrativo, establece:</w:t>
      </w:r>
    </w:p>
    <w:p w14:paraId="0BBF6486"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 </w:t>
      </w:r>
    </w:p>
    <w:p w14:paraId="48802FA3"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b/>
          <w:bCs/>
          <w:color w:val="333333"/>
          <w:sz w:val="28"/>
          <w:szCs w:val="28"/>
        </w:rPr>
        <w:t>«ARTÍCULO </w:t>
      </w:r>
      <w:hyperlink r:id="rId14" w:anchor="24" w:tooltip="vinculo" w:history="1">
        <w:r w:rsidRPr="00E8164B">
          <w:rPr>
            <w:rStyle w:val="Hipervnculo"/>
            <w:rFonts w:ascii="Arial" w:hAnsi="Arial" w:cs="Arial"/>
            <w:b/>
            <w:bCs/>
            <w:i/>
            <w:iCs/>
            <w:color w:val="007BFF"/>
            <w:sz w:val="28"/>
            <w:szCs w:val="28"/>
          </w:rPr>
          <w:t>24</w:t>
        </w:r>
      </w:hyperlink>
      <w:r w:rsidRPr="00E8164B">
        <w:rPr>
          <w:rStyle w:val="nfasis"/>
          <w:rFonts w:ascii="Arial" w:hAnsi="Arial" w:cs="Arial"/>
          <w:b/>
          <w:bCs/>
          <w:color w:val="333333"/>
          <w:sz w:val="28"/>
          <w:szCs w:val="28"/>
        </w:rPr>
        <w:t>. Informaciones y documentos reservados. </w:t>
      </w:r>
      <w:r w:rsidRPr="00E8164B">
        <w:rPr>
          <w:rStyle w:val="nfasis"/>
          <w:rFonts w:ascii="Arial" w:hAnsi="Arial" w:cs="Arial"/>
          <w:color w:val="333333"/>
          <w:sz w:val="28"/>
          <w:szCs w:val="28"/>
        </w:rPr>
        <w:t>Solo tendrán carácter reservado las informaciones y documentos expresamente sometidos a reserva por la Constitución Política o la ley, y en especial:</w:t>
      </w:r>
    </w:p>
    <w:p w14:paraId="78B05A93"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1. Los relacionados con la defensa o seguridad nacionales.</w:t>
      </w:r>
    </w:p>
    <w:p w14:paraId="208FBBDB"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2. Las instrucciones en materia diplomática o sobre negociaciones reservadas.</w:t>
      </w:r>
    </w:p>
    <w:p w14:paraId="45267D2D"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p>
    <w:p w14:paraId="709CFF29"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w:t>
      </w:r>
    </w:p>
    <w:p w14:paraId="51F5C39A"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lastRenderedPageBreak/>
        <w:t>5. Los datos referentes a la información financiera y comercial, en los términos de la Ley Estatutaria 1266 de 2008.</w:t>
      </w:r>
    </w:p>
    <w:p w14:paraId="5C5DC096"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6. Los protegidos por el secreto comercial o industrial, así como los planes estratégicos de las empresas públicas de servicios públicos.</w:t>
      </w:r>
    </w:p>
    <w:p w14:paraId="13B22BF0"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7. Los amparados por el secreto profesional.</w:t>
      </w:r>
    </w:p>
    <w:p w14:paraId="354C49D0"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8. Los datos genéticos humanos.</w:t>
      </w:r>
    </w:p>
    <w:p w14:paraId="4AB8902C"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b/>
          <w:bCs/>
          <w:color w:val="333333"/>
          <w:sz w:val="28"/>
          <w:szCs w:val="28"/>
        </w:rPr>
        <w:t>Parágrafo. </w:t>
      </w:r>
      <w:r w:rsidRPr="00E8164B">
        <w:rPr>
          <w:rStyle w:val="nfasis"/>
          <w:rFonts w:ascii="Arial" w:hAnsi="Arial" w:cs="Arial"/>
          <w:color w:val="333333"/>
          <w:sz w:val="28"/>
          <w:szCs w:val="28"/>
        </w:rPr>
        <w:t>Para efecto de la solicitud de información de carácter reservado, enunciada en los numerales 3, 5, 6 y 7 solo podrá ser solicitada por el titular de la información, por sus apoderados o por personas autorizadas con facultad expresa para acceder a esa información.</w:t>
      </w:r>
    </w:p>
    <w:p w14:paraId="257FB922"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w:t>
      </w:r>
    </w:p>
    <w:p w14:paraId="2FEE1C54"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b/>
          <w:bCs/>
          <w:color w:val="333333"/>
          <w:sz w:val="28"/>
          <w:szCs w:val="28"/>
        </w:rPr>
        <w:t>ARTÍCULO </w:t>
      </w:r>
      <w:hyperlink r:id="rId15" w:anchor="27" w:tooltip="vinculo" w:history="1">
        <w:r w:rsidRPr="00E8164B">
          <w:rPr>
            <w:rStyle w:val="Hipervnculo"/>
            <w:rFonts w:ascii="Arial" w:hAnsi="Arial" w:cs="Arial"/>
            <w:b/>
            <w:bCs/>
            <w:i/>
            <w:iCs/>
            <w:color w:val="007BFF"/>
            <w:sz w:val="28"/>
            <w:szCs w:val="28"/>
          </w:rPr>
          <w:t>27</w:t>
        </w:r>
      </w:hyperlink>
      <w:r w:rsidRPr="00E8164B">
        <w:rPr>
          <w:rStyle w:val="nfasis"/>
          <w:rFonts w:ascii="Arial" w:hAnsi="Arial" w:cs="Arial"/>
          <w:b/>
          <w:bCs/>
          <w:color w:val="333333"/>
          <w:sz w:val="28"/>
          <w:szCs w:val="28"/>
        </w:rPr>
        <w:t>. </w:t>
      </w:r>
      <w:r w:rsidRPr="00E8164B">
        <w:rPr>
          <w:rStyle w:val="Textoennegrita"/>
          <w:rFonts w:ascii="Arial" w:hAnsi="Arial" w:cs="Arial"/>
          <w:color w:val="333333"/>
          <w:sz w:val="28"/>
          <w:szCs w:val="28"/>
        </w:rPr>
        <w:t>Inaplicabilidad de las excepciones. </w:t>
      </w:r>
      <w:r w:rsidRPr="00E8164B">
        <w:rPr>
          <w:rStyle w:val="nfasis"/>
          <w:rFonts w:ascii="Arial" w:hAnsi="Arial" w:cs="Arial"/>
          <w:color w:val="333333"/>
          <w:sz w:val="28"/>
          <w:szCs w:val="28"/>
        </w:rPr>
        <w:t>El carácter reservado de una información o de determinados documentos, no será oponible a las autoridades judiciales, legislativas, ni a las autoridades administrativas que, siendo constitucional o legalmente competentes para ello, los soliciten para el debido ejercicio de sus funciones. Corresponde a dichas autoridades asegurar la reserva de las informaciones y documentos que lleguen a conocer en desarrollo de lo previsto en este artículo.»</w:t>
      </w:r>
    </w:p>
    <w:p w14:paraId="5CC18739"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De conformidad con la normativa en cita, solo tendrán carácter reservado las informaciones y documentos expresamente sometidos a reserva por la Constitución Política o la Ley.</w:t>
      </w:r>
    </w:p>
    <w:p w14:paraId="076D8534"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Por lo tanto, toda información en posesión, bajo control o custodia de un sujeto obligado es pública y no podrá ser reservada o limitada sino por disposición constitucional o legal, exceptuando toda aquella información pública clasificada, cuyo acceso podrá ser rechazado o denegado de manera motivada y por escrito, siempre que el acceso pudiere causar un daño al derecho de toda persona a la intimidad, bajo las limitaciones propias que impone la condición de servidor público; el derecho de toda persona a la vida, la saluda o la seguridad; los secretos comerciales, industriales y profesionales, así como los estipulados en el parágrafo </w:t>
      </w:r>
      <w:hyperlink r:id="rId16" w:anchor="77" w:tooltip="vinculo" w:history="1">
        <w:r w:rsidRPr="00E8164B">
          <w:rPr>
            <w:rStyle w:val="Hipervnculo"/>
            <w:rFonts w:ascii="Arial" w:hAnsi="Arial" w:cs="Arial"/>
            <w:color w:val="007BFF"/>
            <w:sz w:val="28"/>
            <w:szCs w:val="28"/>
          </w:rPr>
          <w:t>77 </w:t>
        </w:r>
      </w:hyperlink>
      <w:r w:rsidRPr="00E8164B">
        <w:rPr>
          <w:rFonts w:ascii="Arial" w:hAnsi="Arial" w:cs="Arial"/>
          <w:color w:val="333333"/>
          <w:sz w:val="28"/>
          <w:szCs w:val="28"/>
        </w:rPr>
        <w:t xml:space="preserve">de la Ley 1474 de 2011; y el Ministerio Público será el </w:t>
      </w:r>
      <w:r w:rsidRPr="00E8164B">
        <w:rPr>
          <w:rFonts w:ascii="Arial" w:hAnsi="Arial" w:cs="Arial"/>
          <w:color w:val="333333"/>
          <w:sz w:val="28"/>
          <w:szCs w:val="28"/>
        </w:rPr>
        <w:lastRenderedPageBreak/>
        <w:t>encargado de velar por el adecuado cumplimiento de las obligaciones consagradas en la Ley de transparencia.</w:t>
      </w:r>
    </w:p>
    <w:p w14:paraId="690D0832" w14:textId="5749F7F5"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 Igualmente, los sujetos obligados deberán mantener unos índices actualizados de los actos, documentos e informaciones calificados como clasificados o reservados, de conformidad con la ley, el cual incluirá sus denominaciones, la motivación y la individualización del acto en que conste tal calificación.</w:t>
      </w:r>
    </w:p>
    <w:p w14:paraId="340053EF"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En aquellas circunstancias en que la totalidad de la información contenida en un documento no esté protegida por una excepción consagrada en la ley, debe hacerse una versión pública que mantenga la reserva únicamente de la parte indispensable. La información pública que no cae en ningún supuesto de excepción deberá ser entregada al solicitante, así como ser de conocimiento público. La reserva de acceso a la información opera respecto del contenido de un documento público, pero no de su existencia.</w:t>
      </w:r>
    </w:p>
    <w:p w14:paraId="0BA0D5A3"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 xml:space="preserve">Conforme lo expuesto, esta Dirección Jurídica considera que corresponde a la respectiva Administración analizar </w:t>
      </w:r>
      <w:proofErr w:type="gramStart"/>
      <w:r w:rsidRPr="00E8164B">
        <w:rPr>
          <w:rFonts w:ascii="Arial" w:hAnsi="Arial" w:cs="Arial"/>
          <w:color w:val="333333"/>
          <w:sz w:val="28"/>
          <w:szCs w:val="28"/>
        </w:rPr>
        <w:t>de acuerdo a</w:t>
      </w:r>
      <w:proofErr w:type="gramEnd"/>
      <w:r w:rsidRPr="00E8164B">
        <w:rPr>
          <w:rFonts w:ascii="Arial" w:hAnsi="Arial" w:cs="Arial"/>
          <w:color w:val="333333"/>
          <w:sz w:val="28"/>
          <w:szCs w:val="28"/>
        </w:rPr>
        <w:t xml:space="preserve"> la normativa prevista la situación particular, verificando si es viable la entrega de la totalidad del expediente PTE al interesado.</w:t>
      </w:r>
    </w:p>
    <w:p w14:paraId="34309194"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 xml:space="preserve">Con respecto de las normas de administración de los empleados del sector público; así como las inhabilidades e incompatibilidades aplicables a los mismos, me permito indicar que en el </w:t>
      </w:r>
      <w:proofErr w:type="gramStart"/>
      <w:r w:rsidRPr="00E8164B">
        <w:rPr>
          <w:rFonts w:ascii="Arial" w:hAnsi="Arial" w:cs="Arial"/>
          <w:color w:val="333333"/>
          <w:sz w:val="28"/>
          <w:szCs w:val="28"/>
        </w:rPr>
        <w:t>link</w:t>
      </w:r>
      <w:proofErr w:type="gramEnd"/>
      <w:r w:rsidRPr="00E8164B">
        <w:rPr>
          <w:rFonts w:ascii="Arial" w:hAnsi="Arial" w:cs="Arial"/>
          <w:color w:val="333333"/>
          <w:sz w:val="28"/>
          <w:szCs w:val="28"/>
        </w:rPr>
        <w:t> </w:t>
      </w:r>
      <w:hyperlink r:id="rId17" w:history="1">
        <w:r w:rsidRPr="00E8164B">
          <w:rPr>
            <w:rStyle w:val="Hipervnculo"/>
            <w:rFonts w:ascii="Arial" w:hAnsi="Arial" w:cs="Arial"/>
            <w:color w:val="007BFF"/>
            <w:sz w:val="28"/>
            <w:szCs w:val="28"/>
          </w:rPr>
          <w:t>https://www.funcionpublica.gov.co/eva/es/gestor-normativo</w:t>
        </w:r>
      </w:hyperlink>
      <w:r w:rsidRPr="00E8164B">
        <w:rPr>
          <w:rFonts w:ascii="Arial" w:hAnsi="Arial" w:cs="Arial"/>
          <w:color w:val="333333"/>
          <w:sz w:val="28"/>
          <w:szCs w:val="28"/>
        </w:rPr>
        <w:t> podrá encontrar conceptos relacionados con el tema, que han sido emitidos por esta Dirección Jurídica.</w:t>
      </w:r>
    </w:p>
    <w:p w14:paraId="464D998E"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El anterior concepto se emite en los términos establecidos en el artículo </w:t>
      </w:r>
      <w:hyperlink r:id="rId18" w:anchor="28" w:tooltip="vinculo" w:history="1">
        <w:r w:rsidRPr="00E8164B">
          <w:rPr>
            <w:rStyle w:val="Hipervnculo"/>
            <w:rFonts w:ascii="Arial" w:hAnsi="Arial" w:cs="Arial"/>
            <w:color w:val="007BFF"/>
            <w:sz w:val="28"/>
            <w:szCs w:val="28"/>
          </w:rPr>
          <w:t>28 </w:t>
        </w:r>
      </w:hyperlink>
      <w:r w:rsidRPr="00E8164B">
        <w:rPr>
          <w:rFonts w:ascii="Arial" w:hAnsi="Arial" w:cs="Arial"/>
          <w:color w:val="333333"/>
          <w:sz w:val="28"/>
          <w:szCs w:val="28"/>
        </w:rPr>
        <w:t>del Código de Procedimiento Administrativo y de lo Contencioso Administrativo.</w:t>
      </w:r>
    </w:p>
    <w:p w14:paraId="2A08BEAB"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Cordialmente,</w:t>
      </w:r>
    </w:p>
    <w:p w14:paraId="2C87770C"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Textoennegrita"/>
          <w:rFonts w:ascii="Arial" w:hAnsi="Arial" w:cs="Arial"/>
          <w:color w:val="333333"/>
          <w:sz w:val="28"/>
          <w:szCs w:val="28"/>
        </w:rPr>
        <w:t>ARMANDO LÓPEZ CORTES</w:t>
      </w:r>
    </w:p>
    <w:p w14:paraId="63EEC16D"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Textoennegrita"/>
          <w:rFonts w:ascii="Arial" w:hAnsi="Arial" w:cs="Arial"/>
          <w:color w:val="333333"/>
          <w:sz w:val="28"/>
          <w:szCs w:val="28"/>
        </w:rPr>
        <w:t>Director Jurídico</w:t>
      </w:r>
    </w:p>
    <w:p w14:paraId="597F6A08"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Proyectó: Luz Rojas</w:t>
      </w:r>
    </w:p>
    <w:p w14:paraId="0813A348"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lastRenderedPageBreak/>
        <w:t>Revisó: Maia Borja</w:t>
      </w:r>
    </w:p>
    <w:p w14:paraId="746BA39F"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Aprobó: Armando López Cortes</w:t>
      </w:r>
    </w:p>
    <w:p w14:paraId="6070F9E1"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11602.8.4</w:t>
      </w:r>
    </w:p>
    <w:p w14:paraId="692F14F6"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Textoennegrita"/>
          <w:rFonts w:ascii="Arial" w:hAnsi="Arial" w:cs="Arial"/>
          <w:color w:val="333333"/>
          <w:sz w:val="28"/>
          <w:szCs w:val="28"/>
        </w:rPr>
        <w:t>NOTAS DE PIE DE PÁGINA</w:t>
      </w:r>
    </w:p>
    <w:p w14:paraId="4E44149B"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1 </w:t>
      </w:r>
      <w:proofErr w:type="gramStart"/>
      <w:r w:rsidRPr="00E8164B">
        <w:rPr>
          <w:rStyle w:val="nfasis"/>
          <w:rFonts w:ascii="Arial" w:hAnsi="Arial" w:cs="Arial"/>
          <w:color w:val="333333"/>
          <w:sz w:val="28"/>
          <w:szCs w:val="28"/>
        </w:rPr>
        <w:t>Por</w:t>
      </w:r>
      <w:proofErr w:type="gramEnd"/>
      <w:r w:rsidRPr="00E8164B">
        <w:rPr>
          <w:rStyle w:val="nfasis"/>
          <w:rFonts w:ascii="Arial" w:hAnsi="Arial" w:cs="Arial"/>
          <w:color w:val="333333"/>
          <w:sz w:val="28"/>
          <w:szCs w:val="28"/>
        </w:rPr>
        <w:t xml:space="preserve"> el cual se modifica la estructura del Departamento Administrativo de la Función Pública.</w:t>
      </w:r>
    </w:p>
    <w:p w14:paraId="24D76616"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Style w:val="nfasis"/>
          <w:rFonts w:ascii="Arial" w:hAnsi="Arial" w:cs="Arial"/>
          <w:color w:val="333333"/>
          <w:sz w:val="28"/>
          <w:szCs w:val="28"/>
        </w:rPr>
        <w:t>2 </w:t>
      </w:r>
      <w:proofErr w:type="gramStart"/>
      <w:r w:rsidRPr="00E8164B">
        <w:rPr>
          <w:rStyle w:val="nfasis"/>
          <w:rFonts w:ascii="Arial" w:hAnsi="Arial" w:cs="Arial"/>
          <w:color w:val="333333"/>
          <w:sz w:val="28"/>
          <w:szCs w:val="28"/>
        </w:rPr>
        <w:t>Por</w:t>
      </w:r>
      <w:proofErr w:type="gramEnd"/>
      <w:r w:rsidRPr="00E8164B">
        <w:rPr>
          <w:rStyle w:val="nfasis"/>
          <w:rFonts w:ascii="Arial" w:hAnsi="Arial" w:cs="Arial"/>
          <w:color w:val="333333"/>
          <w:sz w:val="28"/>
          <w:szCs w:val="28"/>
        </w:rPr>
        <w:t xml:space="preserve"> medio de la cual se crea la Ley de Transparencia y del Derecho de Acceso a la Información Pública Nacional y se dictan otras disposiciones.</w:t>
      </w:r>
    </w:p>
    <w:p w14:paraId="7674236B" w14:textId="77777777" w:rsidR="00E8164B" w:rsidRPr="00E8164B" w:rsidRDefault="00E8164B" w:rsidP="00E8164B">
      <w:pPr>
        <w:pStyle w:val="NormalWeb"/>
        <w:shd w:val="clear" w:color="auto" w:fill="FFFFFF"/>
        <w:jc w:val="both"/>
        <w:rPr>
          <w:rFonts w:ascii="Arial" w:hAnsi="Arial" w:cs="Arial"/>
          <w:color w:val="333333"/>
          <w:sz w:val="28"/>
          <w:szCs w:val="28"/>
        </w:rPr>
      </w:pPr>
      <w:r w:rsidRPr="00E8164B">
        <w:rPr>
          <w:rFonts w:ascii="Arial" w:hAnsi="Arial" w:cs="Arial"/>
          <w:color w:val="333333"/>
          <w:sz w:val="28"/>
          <w:szCs w:val="28"/>
        </w:rPr>
        <w:t> </w:t>
      </w:r>
    </w:p>
    <w:p w14:paraId="334F0ED6" w14:textId="77777777" w:rsidR="0029614A" w:rsidRPr="00E8164B" w:rsidRDefault="0029614A" w:rsidP="00E8164B">
      <w:pPr>
        <w:jc w:val="both"/>
        <w:rPr>
          <w:rFonts w:ascii="Arial" w:hAnsi="Arial" w:cs="Arial"/>
          <w:sz w:val="28"/>
          <w:szCs w:val="28"/>
        </w:rPr>
      </w:pPr>
    </w:p>
    <w:sectPr w:rsidR="0029614A" w:rsidRPr="00E816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4B"/>
    <w:rsid w:val="0029614A"/>
    <w:rsid w:val="00E816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29A8"/>
  <w15:chartTrackingRefBased/>
  <w15:docId w15:val="{C1BC6571-B7E8-429F-95EC-BAEEF23D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8164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8164B"/>
    <w:rPr>
      <w:b/>
      <w:bCs/>
    </w:rPr>
  </w:style>
  <w:style w:type="character" w:styleId="nfasis">
    <w:name w:val="Emphasis"/>
    <w:basedOn w:val="Fuentedeprrafopredeter"/>
    <w:uiPriority w:val="20"/>
    <w:qFormat/>
    <w:rsid w:val="00E8164B"/>
    <w:rPr>
      <w:i/>
      <w:iCs/>
    </w:rPr>
  </w:style>
  <w:style w:type="character" w:styleId="Hipervnculo">
    <w:name w:val="Hyperlink"/>
    <w:basedOn w:val="Fuentedeprrafopredeter"/>
    <w:uiPriority w:val="99"/>
    <w:semiHidden/>
    <w:unhideWhenUsed/>
    <w:rsid w:val="00E81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56882" TargetMode="External"/><Relationship Id="rId13" Type="http://schemas.openxmlformats.org/officeDocument/2006/relationships/hyperlink" Target="https://www.funcionpublica.gov.co/eva/gestornormativo/norma.php?i=56882" TargetMode="External"/><Relationship Id="rId18" Type="http://schemas.openxmlformats.org/officeDocument/2006/relationships/hyperlink" Target="https://www.funcionpublica.gov.co/eva/gestornormativo/norma.php?i=41249" TargetMode="External"/><Relationship Id="rId3" Type="http://schemas.openxmlformats.org/officeDocument/2006/relationships/webSettings" Target="webSettings.xml"/><Relationship Id="rId7" Type="http://schemas.openxmlformats.org/officeDocument/2006/relationships/hyperlink" Target="https://www.funcionpublica.gov.co/eva/gestornormativo/norma.php?i=56882" TargetMode="External"/><Relationship Id="rId12" Type="http://schemas.openxmlformats.org/officeDocument/2006/relationships/hyperlink" Target="https://www.funcionpublica.gov.co/eva/gestornormativo/norma.php?i=56882" TargetMode="External"/><Relationship Id="rId17" Type="http://schemas.openxmlformats.org/officeDocument/2006/relationships/hyperlink" Target="https://www.funcionpublica.gov.co/eva/es/gestor-normativo" TargetMode="External"/><Relationship Id="rId2" Type="http://schemas.openxmlformats.org/officeDocument/2006/relationships/settings" Target="settings.xml"/><Relationship Id="rId16" Type="http://schemas.openxmlformats.org/officeDocument/2006/relationships/hyperlink" Target="https://www.funcionpublica.gov.co/eva/gestornormativo/norma.php?i=4124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uncionpublica.gov.co/eva/gestornormativo/norma.php?i=56882" TargetMode="External"/><Relationship Id="rId11" Type="http://schemas.openxmlformats.org/officeDocument/2006/relationships/hyperlink" Target="https://www.funcionpublica.gov.co/eva/gestornormativo/norma.php?i=56882" TargetMode="External"/><Relationship Id="rId5" Type="http://schemas.openxmlformats.org/officeDocument/2006/relationships/hyperlink" Target="https://www.funcionpublica.gov.co/eva/gestornormativo/norma.php?i=68813" TargetMode="External"/><Relationship Id="rId15" Type="http://schemas.openxmlformats.org/officeDocument/2006/relationships/hyperlink" Target="https://www.funcionpublica.gov.co/eva/gestornormativo/norma.php?i=41249" TargetMode="External"/><Relationship Id="rId10" Type="http://schemas.openxmlformats.org/officeDocument/2006/relationships/hyperlink" Target="https://www.funcionpublica.gov.co/eva/gestornormativo/norma.php?i=65312" TargetMode="External"/><Relationship Id="rId19" Type="http://schemas.openxmlformats.org/officeDocument/2006/relationships/fontTable" Target="fontTable.xml"/><Relationship Id="rId4" Type="http://schemas.openxmlformats.org/officeDocument/2006/relationships/hyperlink" Target="https://www.funcionpublica.gov.co/eva/gestornormativo/norma.php?i=68813" TargetMode="External"/><Relationship Id="rId9" Type="http://schemas.openxmlformats.org/officeDocument/2006/relationships/hyperlink" Target="https://www.funcionpublica.gov.co/eva/gestornormativo/norma.php?i=56882" TargetMode="External"/><Relationship Id="rId14" Type="http://schemas.openxmlformats.org/officeDocument/2006/relationships/hyperlink" Target="https://www.funcionpublica.gov.co/eva/gestornormativo/norma.ph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1971</Words>
  <Characters>10844</Characters>
  <Application>Microsoft Office Word</Application>
  <DocSecurity>0</DocSecurity>
  <Lines>90</Lines>
  <Paragraphs>25</Paragraphs>
  <ScaleCrop>false</ScaleCrop>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1</cp:revision>
  <dcterms:created xsi:type="dcterms:W3CDTF">2023-11-10T15:24:00Z</dcterms:created>
  <dcterms:modified xsi:type="dcterms:W3CDTF">2023-11-10T15:29:00Z</dcterms:modified>
</cp:coreProperties>
</file>